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4B" w:rsidRPr="007A744B" w:rsidRDefault="007A744B" w:rsidP="007A744B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7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B" w:rsidRPr="007A744B" w:rsidRDefault="007A744B" w:rsidP="007A7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4B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7A744B" w:rsidRPr="007A744B" w:rsidRDefault="007A744B" w:rsidP="007A7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4B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7A744B" w:rsidRPr="007A744B" w:rsidRDefault="007A744B" w:rsidP="007A744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A744B" w:rsidRPr="007A744B" w:rsidRDefault="007A744B" w:rsidP="007A74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7A744B">
        <w:rPr>
          <w:rFonts w:ascii="Times New Roman" w:hAnsi="Times New Roman" w:cs="Times New Roman"/>
          <w:sz w:val="28"/>
          <w:szCs w:val="28"/>
        </w:rPr>
        <w:t xml:space="preserve">от </w:t>
      </w:r>
      <w:r w:rsidR="00E4072D">
        <w:rPr>
          <w:rFonts w:ascii="Times New Roman" w:hAnsi="Times New Roman" w:cs="Times New Roman"/>
          <w:sz w:val="28"/>
          <w:szCs w:val="28"/>
        </w:rPr>
        <w:t>27.01.2023</w:t>
      </w:r>
      <w:r w:rsidRPr="007A744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</w:t>
      </w:r>
      <w:r w:rsidR="00687EC3">
        <w:rPr>
          <w:rFonts w:ascii="Times New Roman" w:hAnsi="Times New Roman" w:cs="Times New Roman"/>
          <w:sz w:val="28"/>
          <w:szCs w:val="28"/>
        </w:rPr>
        <w:t xml:space="preserve"> </w:t>
      </w:r>
      <w:r w:rsidR="00E4072D">
        <w:rPr>
          <w:rFonts w:ascii="Times New Roman" w:hAnsi="Times New Roman" w:cs="Times New Roman"/>
          <w:sz w:val="28"/>
          <w:szCs w:val="28"/>
        </w:rPr>
        <w:t xml:space="preserve">            № 10</w:t>
      </w:r>
    </w:p>
    <w:p w:rsidR="007A744B" w:rsidRPr="007A744B" w:rsidRDefault="007A744B" w:rsidP="007A744B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A744B" w:rsidRPr="007A744B" w:rsidRDefault="007A744B" w:rsidP="007A744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8"/>
        </w:rPr>
      </w:pPr>
      <w:r w:rsidRPr="007A744B">
        <w:rPr>
          <w:rFonts w:ascii="Times New Roman" w:hAnsi="Times New Roman" w:cs="Times New Roman"/>
          <w:sz w:val="24"/>
          <w:szCs w:val="28"/>
        </w:rPr>
        <w:t>хутор Александровский</w:t>
      </w:r>
    </w:p>
    <w:p w:rsidR="00F27683" w:rsidRPr="007A744B" w:rsidRDefault="00F27683" w:rsidP="007A744B">
      <w:pPr>
        <w:framePr w:w="8626" w:h="40" w:hSpace="142" w:wrap="around" w:vAnchor="page" w:hAnchor="page" w:x="2124" w:y="4441" w:anchorLock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83" w:rsidRPr="007A744B" w:rsidRDefault="00F27683" w:rsidP="007A744B">
      <w:pPr>
        <w:framePr w:w="8626" w:h="40" w:hSpace="142" w:wrap="around" w:vAnchor="page" w:hAnchor="page" w:x="2124" w:y="4441" w:anchorLock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44B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16D5B" w:rsidRPr="007A744B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7A744B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</w:p>
    <w:p w:rsidR="00F27683" w:rsidRPr="007A744B" w:rsidRDefault="00F27683" w:rsidP="007A744B">
      <w:pPr>
        <w:framePr w:w="8626" w:h="40" w:hSpace="142" w:wrap="around" w:vAnchor="page" w:hAnchor="page" w:x="2124" w:y="4441" w:anchorLock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346-р «Об утверждении 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5D70FA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5D70FA" w:rsidRPr="00F27683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D70FA">
        <w:rPr>
          <w:rFonts w:ascii="Times New Roman" w:hAnsi="Times New Roman" w:cs="Times New Roman"/>
          <w:sz w:val="28"/>
          <w:szCs w:val="28"/>
        </w:rPr>
        <w:t>постановление администрации Александровского сельского поселения Усть-Лабинского района от 03.12.2018 года № 104 «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5D70FA">
        <w:rPr>
          <w:rStyle w:val="FontStyle24"/>
          <w:rFonts w:eastAsia="DejaVu Sans"/>
          <w:b w:val="0"/>
          <w:sz w:val="28"/>
          <w:szCs w:val="28"/>
        </w:rPr>
        <w:t>»</w:t>
      </w:r>
      <w:r w:rsidRPr="00F2768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D70FA" w:rsidRPr="005D70FA" w:rsidRDefault="005D70FA" w:rsidP="005D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Александровского сельского поселения Усть-Лабинского района (Локтионова)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5D70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D70F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0FA" w:rsidRPr="005D70FA" w:rsidRDefault="005D70FA" w:rsidP="005D70FA">
      <w:pPr>
        <w:pStyle w:val="af2"/>
        <w:ind w:firstLine="709"/>
        <w:jc w:val="both"/>
        <w:rPr>
          <w:b w:val="0"/>
          <w:sz w:val="28"/>
          <w:szCs w:val="28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>. 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5D70FA" w:rsidRPr="005D70FA" w:rsidRDefault="005D70FA" w:rsidP="005D70FA">
      <w:pPr>
        <w:pStyle w:val="af2"/>
        <w:ind w:firstLine="709"/>
        <w:jc w:val="both"/>
        <w:rPr>
          <w:b w:val="0"/>
          <w:bCs/>
          <w:sz w:val="28"/>
          <w:szCs w:val="28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>. Постановление вступает в силу со дня его официального обнародования</w:t>
      </w:r>
      <w:r w:rsidR="00E4072D">
        <w:rPr>
          <w:b w:val="0"/>
          <w:sz w:val="28"/>
          <w:szCs w:val="28"/>
          <w:lang w:val="ru-RU"/>
        </w:rPr>
        <w:t xml:space="preserve"> и распространяется на правоотношения, возникшие с 09.01.2023 года</w:t>
      </w:r>
      <w:r w:rsidRPr="005D70FA">
        <w:rPr>
          <w:b w:val="0"/>
          <w:sz w:val="28"/>
          <w:szCs w:val="28"/>
        </w:rPr>
        <w:t>.</w:t>
      </w:r>
    </w:p>
    <w:p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FA" w:rsidRP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>Глава</w:t>
      </w:r>
    </w:p>
    <w:p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70FA">
        <w:rPr>
          <w:rFonts w:ascii="Times New Roman" w:hAnsi="Times New Roman" w:cs="Times New Roman"/>
          <w:sz w:val="28"/>
          <w:szCs w:val="28"/>
        </w:rPr>
        <w:t xml:space="preserve">  Н.Н. Харько</w:t>
      </w: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Default="00F27683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6DDB" w:rsidRPr="00300F10" w:rsidTr="000E6810">
        <w:tc>
          <w:tcPr>
            <w:tcW w:w="4785" w:type="dxa"/>
          </w:tcPr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>к постановлению администрации</w:t>
            </w:r>
          </w:p>
          <w:p w:rsidR="00706DDB" w:rsidRPr="00300F10" w:rsidRDefault="00C815E0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от </w:t>
            </w:r>
            <w:r w:rsidR="00E4072D">
              <w:rPr>
                <w:b w:val="0"/>
                <w:sz w:val="28"/>
                <w:szCs w:val="28"/>
              </w:rPr>
              <w:t>27.01.2023 года № 10</w:t>
            </w:r>
          </w:p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ПОРЯДОК</w:t>
      </w:r>
    </w:p>
    <w:p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 w:rsidRPr="00C815E0">
        <w:rPr>
          <w:sz w:val="28"/>
          <w:szCs w:val="28"/>
        </w:rPr>
        <w:t xml:space="preserve"> администрацией </w:t>
      </w:r>
      <w:r w:rsidR="00C815E0">
        <w:rPr>
          <w:sz w:val="28"/>
          <w:szCs w:val="28"/>
        </w:rPr>
        <w:t>Александровского сельского поселения Усть-Лабинского района</w:t>
      </w: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:rsidR="00617506" w:rsidRPr="0057295C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57295C">
        <w:rPr>
          <w:b w:val="0"/>
          <w:sz w:val="28"/>
          <w:szCs w:val="28"/>
          <w:lang w:val="en-US"/>
        </w:rPr>
        <w:t>I</w:t>
      </w:r>
      <w:r w:rsidRPr="0057295C">
        <w:rPr>
          <w:b w:val="0"/>
          <w:sz w:val="28"/>
          <w:szCs w:val="28"/>
        </w:rPr>
        <w:t>. Общие положения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C81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структурными подразделениями администрации 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которых относится организация предоставления соответствующей муниципальной услуги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1012"/>
      <w:bookmarkEnd w:id="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E9" w:rsidRPr="00300F10" w:rsidRDefault="00DA251E" w:rsidP="002A71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Краснодарского края (далее - нормативные правовые акты), а также в соответствии с единым стандартом предоставления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1" w:name="anchor1013"/>
      <w:bookmarkEnd w:id="1"/>
    </w:p>
    <w:p w:rsidR="00875E7A" w:rsidRPr="00300F10" w:rsidRDefault="00DA251E" w:rsidP="00875E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административный регламент предоставления соответствующей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206EFB" w:rsidRPr="00300F10" w:rsidRDefault="00DA251E" w:rsidP="00206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994CA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предоставляющими муниципальные услуги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полномочий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им на основании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с предоставлением субвенций из краевого бюджета,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законом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anchor1014"/>
      <w:bookmarkEnd w:id="2"/>
    </w:p>
    <w:p w:rsidR="00CE5AF3" w:rsidRPr="00300F10" w:rsidRDefault="00DA251E" w:rsidP="00CE5A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3" w:name="anchor1015"/>
      <w:bookmarkEnd w:id="3"/>
    </w:p>
    <w:p w:rsidR="00545382" w:rsidRPr="00300F10" w:rsidRDefault="00DA251E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4" w:name="anchor10151"/>
      <w:bookmarkEnd w:id="4"/>
    </w:p>
    <w:p w:rsidR="00DA251E" w:rsidRPr="00300F10" w:rsidRDefault="00CE5AF3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78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anchor10152"/>
      <w:bookmarkEnd w:id="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anchor10153"/>
      <w:bookmarkEnd w:id="6"/>
    </w:p>
    <w:p w:rsidR="00AF0DAE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 </w:t>
      </w:r>
      <w:r w:rsidRPr="0030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7" w:name="anchor1016"/>
      <w:bookmarkEnd w:id="7"/>
    </w:p>
    <w:p w:rsidR="00C652BC" w:rsidRPr="00300F10" w:rsidRDefault="00DA251E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8" w:name="anchor162"/>
      <w:bookmarkEnd w:id="8"/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(или) информации, необходимых для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A105BC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9" w:name="anchor1017"/>
      <w:bookmarkEnd w:id="9"/>
    </w:p>
    <w:p w:rsidR="00DA251E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разработке административных регламентов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(проактивном) режиме, многоканальность (вариативность способа подачи заявления о предоставлении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anchor1018"/>
      <w:bookmarkEnd w:id="1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1" w:name="anchor1002"/>
      <w:bookmarkEnd w:id="11"/>
    </w:p>
    <w:p w:rsidR="008E6F67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57295C" w:rsidRDefault="008E6F67" w:rsidP="00094CF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="00DA251E"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anchor1021"/>
      <w:bookmarkEnd w:id="12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3" w:name="anchor10211"/>
      <w:bookmarkEnd w:id="13"/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anchor10212"/>
      <w:bookmarkEnd w:id="14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3"/>
      <w:bookmarkEnd w:id="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4"/>
      <w:bookmarkEnd w:id="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контроля за исполнением административного регламента.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15"/>
      <w:bookmarkEnd w:id="1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указанных в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:rsidR="008D1CD9" w:rsidRDefault="008D1CD9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nchor1022"/>
      <w:bookmarkEnd w:id="18"/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раздел 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19" w:name="anchor12318"/>
      <w:bookmarkEnd w:id="19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20" w:name="anchor12319"/>
      <w:bookmarkEnd w:id="20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1" w:name="anchor12320"/>
      <w:bookmarkEnd w:id="21"/>
    </w:p>
    <w:p w:rsidR="00941795" w:rsidRPr="00300F10" w:rsidRDefault="00742FFD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2" w:name="anchor1023"/>
      <w:bookmarkEnd w:id="22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3" w:name="anchor10231"/>
      <w:bookmarkEnd w:id="23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Наименование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4" w:name="anchor10232"/>
      <w:bookmarkEnd w:id="24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5" w:name="anchor10233"/>
      <w:bookmarkEnd w:id="25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6" w:name="anchor10234"/>
      <w:bookmarkEnd w:id="26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5"/>
      <w:bookmarkEnd w:id="27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6"/>
      <w:bookmarkEnd w:id="28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7"/>
      <w:bookmarkEnd w:id="29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8"/>
      <w:bookmarkEnd w:id="30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1" w:name="anchor10239"/>
      <w:bookmarkEnd w:id="31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2" w:name="anchor12310"/>
      <w:bookmarkEnd w:id="32"/>
    </w:p>
    <w:p w:rsidR="00941795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3" w:name="anchor12311"/>
      <w:bookmarkEnd w:id="33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2"/>
      <w:bookmarkEnd w:id="34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5" w:name="anchor12313"/>
      <w:bookmarkEnd w:id="35"/>
    </w:p>
    <w:p w:rsidR="00DA251E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anchor12314"/>
      <w:bookmarkEnd w:id="3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:rsidR="003C6C48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anchor1024"/>
      <w:bookmarkEnd w:id="3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8" w:name="anchor12321"/>
      <w:bookmarkEnd w:id="38"/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</w:t>
      </w:r>
      <w:r w:rsidR="00B34F6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anchor12322"/>
      <w:bookmarkEnd w:id="3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40" w:name="anchor1025"/>
      <w:bookmarkEnd w:id="40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Подраздел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1" w:name="anchor12323"/>
      <w:bookmarkEnd w:id="41"/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anchor12324"/>
      <w:bookmarkEnd w:id="42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anchor12325"/>
      <w:bookmarkEnd w:id="4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4" w:name="anchor12326"/>
      <w:bookmarkEnd w:id="44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5" w:name="anchor12327"/>
      <w:bookmarkEnd w:id="45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6" w:name="anchor1026"/>
      <w:bookmarkEnd w:id="46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7" w:name="anchor1027"/>
      <w:bookmarkEnd w:id="47"/>
    </w:p>
    <w:p w:rsidR="001E3D39" w:rsidRPr="00300F10" w:rsidRDefault="00DA251E" w:rsidP="001E3D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6168" w:rsidRPr="00CE3C3E" w:rsidRDefault="001E3D39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:rsidR="00DA251E" w:rsidRPr="00300F10" w:rsidRDefault="00DA251E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B0144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anchor1028"/>
      <w:bookmarkEnd w:id="4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Подраздел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49" w:name="anchor1029"/>
      <w:bookmarkEnd w:id="49"/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Подраздел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bookmarkStart w:id="50" w:name="anchor12328"/>
      <w:bookmarkEnd w:id="50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способы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1" w:name="anchor12329"/>
      <w:bookmarkEnd w:id="51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2" w:name="anchor12330"/>
      <w:bookmarkEnd w:id="52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3" w:name="anchor12331"/>
      <w:bookmarkEnd w:id="53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4" w:name="anchor12332"/>
      <w:bookmarkEnd w:id="54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5" w:name="anchor12333"/>
      <w:bookmarkEnd w:id="55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6" w:name="anchor12334"/>
      <w:bookmarkEnd w:id="56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7" w:name="anchor12335"/>
      <w:bookmarkEnd w:id="57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случаев, когда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</w:p>
    <w:p w:rsidR="007D32AF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300F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8" w:name="anchor1210"/>
      <w:bookmarkEnd w:id="58"/>
    </w:p>
    <w:p w:rsidR="00BB59D8" w:rsidRPr="00300F10" w:rsidRDefault="00DA251E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Подраздел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59" w:name="anchor1211"/>
      <w:bookmarkEnd w:id="59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60" w:name="anchor12336"/>
      <w:bookmarkEnd w:id="60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оснований для приостановления предоставления </w:t>
      </w:r>
      <w:r w:rsidR="008E572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1" w:name="anchor12337"/>
      <w:bookmarkEnd w:id="61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2" w:name="anchor2114"/>
      <w:bookmarkEnd w:id="62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:rsidR="003B1CB2" w:rsidRPr="00300F10" w:rsidRDefault="00DA251E" w:rsidP="003B1C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3" w:name="anchor1212"/>
      <w:bookmarkEnd w:id="63"/>
    </w:p>
    <w:p w:rsidR="00043FD4" w:rsidRPr="00300F10" w:rsidRDefault="00DA251E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4" w:name="anchor12338"/>
      <w:bookmarkEnd w:id="64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5" w:name="anchor12339"/>
      <w:bookmarkEnd w:id="65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способы ее взимания в случаях, предусмотренных федеральными законами, принимаемыми в соответствии с ними иными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Краснодарского края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6" w:name="anchor1213"/>
      <w:bookmarkEnd w:id="66"/>
    </w:p>
    <w:p w:rsidR="00DA251E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подраздел 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anchor1214"/>
      <w:bookmarkEnd w:id="6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:rsidR="0023056E" w:rsidRPr="00300F10" w:rsidRDefault="00F26DCB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8" w:name="anchor1215"/>
      <w:bookmarkEnd w:id="68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подраздел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9" w:name="anchor12340"/>
      <w:bookmarkEnd w:id="69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70" w:name="anchor12341"/>
      <w:bookmarkEnd w:id="70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за предоставление указанных в </w:t>
      </w:r>
      <w:r w:rsidR="00FD3CD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1" w:name="anchor12342"/>
      <w:bookmarkEnd w:id="71"/>
    </w:p>
    <w:p w:rsidR="00DA251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95667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anchor1216"/>
      <w:bookmarkEnd w:id="72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3" w:name="anchor12161"/>
      <w:bookmarkEnd w:id="73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9F79F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необходимый для исправления допущенных опечаток и ошибок в выданных в результате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4" w:name="anchor12162"/>
      <w:bookmarkEnd w:id="74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5" w:name="anchor12163"/>
      <w:bookmarkEnd w:id="75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Описание вариантов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6" w:name="anchor1217"/>
      <w:bookmarkEnd w:id="76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8"/>
      <w:bookmarkEnd w:id="77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должны содержать результат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8" w:name="anchor1219"/>
      <w:bookmarkEnd w:id="78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79" w:name="anchor12343"/>
      <w:bookmarkEnd w:id="79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80" w:name="anchor12344"/>
      <w:bookmarkEnd w:id="80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1" w:name="anchor12345"/>
      <w:bookmarkEnd w:id="81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2" w:name="anchor12346"/>
      <w:bookmarkEnd w:id="82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3" w:name="anchor12347"/>
      <w:bookmarkEnd w:id="83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4" w:name="anchor12348"/>
      <w:bookmarkEnd w:id="84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возможность (невозможность) приема органом, предоставляющим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5" w:name="anchor12349"/>
      <w:bookmarkEnd w:id="85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6" w:name="anchor1220"/>
      <w:bookmarkEnd w:id="86"/>
    </w:p>
    <w:p w:rsidR="00B10B14" w:rsidRPr="00300F10" w:rsidRDefault="00DA251E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:rsidR="00D62DC8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:rsidR="00B10B14" w:rsidRPr="00300F10" w:rsidRDefault="00D62DC8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451FF" w:rsidRPr="00300F10" w:rsidRDefault="004224C5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структурных подразделениях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7" w:name="anchor1221"/>
      <w:bookmarkEnd w:id="87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8" w:name="anchor12350"/>
      <w:bookmarkEnd w:id="88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89" w:name="anchor12351"/>
      <w:bookmarkEnd w:id="89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90" w:name="anchor12352"/>
      <w:bookmarkEnd w:id="90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1" w:name="anchor1222"/>
      <w:bookmarkEnd w:id="91"/>
    </w:p>
    <w:p w:rsidR="006451FF" w:rsidRPr="00300F10" w:rsidRDefault="006451FF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2" w:name="anchor12353"/>
      <w:bookmarkEnd w:id="92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3" w:name="anchor12354"/>
      <w:bookmarkEnd w:id="93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 даты получения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4" w:name="anchor1223"/>
      <w:bookmarkEnd w:id="94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5" w:name="anchor12355"/>
      <w:bookmarkEnd w:id="95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способы предоставления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6" w:name="anchor12356"/>
      <w:bookmarkEnd w:id="96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предоставления заявителю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7" w:name="anchor12357"/>
      <w:bookmarkEnd w:id="97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8" w:name="anchor1224"/>
      <w:bookmarkEnd w:id="98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99" w:name="anchor12358"/>
      <w:bookmarkEnd w:id="99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00" w:name="anchor12359"/>
      <w:bookmarkEnd w:id="100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1" w:name="anchor12360"/>
      <w:bookmarkEnd w:id="101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2" w:name="anchor12361"/>
      <w:bookmarkEnd w:id="102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административной процедуре, в случае, если они известны (при необходимости).</w:t>
      </w:r>
      <w:bookmarkStart w:id="103" w:name="anchor1225"/>
      <w:bookmarkEnd w:id="103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4" w:name="anchor12362"/>
      <w:bookmarkEnd w:id="104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(проактивном) режиме или подачи заявителем запроса о предоставлении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5" w:name="anchor12363"/>
      <w:bookmarkEnd w:id="105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(проактивном) режиме;</w:t>
      </w:r>
      <w:bookmarkStart w:id="106" w:name="anchor12364"/>
      <w:bookmarkEnd w:id="106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7" w:name="anchor12365"/>
      <w:bookmarkEnd w:id="107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8" w:name="anchor1226"/>
      <w:bookmarkEnd w:id="108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Раздел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09" w:name="anchor12261"/>
      <w:bookmarkEnd w:id="109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10" w:name="anchor12262"/>
      <w:bookmarkEnd w:id="110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1" w:name="anchor12263"/>
      <w:bookmarkEnd w:id="111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2" w:name="anchor12264"/>
      <w:bookmarkEnd w:id="112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Положения, характеризующие требования к порядку и формам контроля за предоставлением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3" w:name="anchor1227"/>
      <w:bookmarkEnd w:id="113"/>
    </w:p>
    <w:p w:rsidR="00DA251E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Раздел 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DA251E" w:rsidRPr="008D1CD9" w:rsidRDefault="00372363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14" w:name="anchor1003"/>
      <w:bookmarkEnd w:id="114"/>
      <w:r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III</w:t>
      </w:r>
      <w:r w:rsidR="00DA251E"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anchor1031"/>
      <w:bookmarkEnd w:id="1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6" w:name="anchor1032"/>
      <w:bookmarkEnd w:id="116"/>
    </w:p>
    <w:p w:rsidR="00DA251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:rsidR="003764BC" w:rsidRPr="002F7AF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anchor1033"/>
      <w:bookmarkEnd w:id="117"/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информатизации и связи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Федеральному реестру для разработки, согласования проекта административного регламента,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8" w:name="anchor12366"/>
      <w:bookmarkEnd w:id="118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органам, предоставляющим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19" w:name="anchor12367"/>
      <w:bookmarkEnd w:id="119"/>
    </w:p>
    <w:p w:rsidR="003764BC" w:rsidRPr="0065160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5F395B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20" w:name="anchor12368"/>
      <w:bookmarkEnd w:id="120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экспертизы проекта административного регламента в соответствии с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1" w:name="anchor12369"/>
      <w:bookmarkEnd w:id="121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ведение делопроизводства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регистрация нормативных правовых актов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22" w:name="anchor12370"/>
      <w:bookmarkEnd w:id="122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3" w:name="anchor1035"/>
      <w:bookmarkEnd w:id="123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с даты поступления его на согласование в Федеральный реестр.</w:t>
      </w:r>
    </w:p>
    <w:p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Согласование проекта административного регламента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общего отдела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превышающий 10 рабочих дней с даты поступления его на согласование в Федеральный реестр.</w:t>
      </w:r>
      <w:bookmarkStart w:id="124" w:name="anchor1036"/>
      <w:bookmarkEnd w:id="124"/>
    </w:p>
    <w:p w:rsidR="00904C87" w:rsidRPr="001A0166" w:rsidRDefault="001A0166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 администрации Александровского сельского поселения Усть-Лабинского района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антикоррупционную экспертизу проект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2F18B7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 органов местного самоуправления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Органом, предоставляющим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административных регламентов проект административного регламента размещается на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565ACB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5" w:name="anchor1037"/>
      <w:bookmarkEnd w:id="125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6" w:name="anchor1038"/>
      <w:bookmarkEnd w:id="126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7" w:name="anchor1039"/>
      <w:bookmarkEnd w:id="127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электронного протокола разногласий, подписывает протокол разногласий посредством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проект административного регламента, проставляя соответствующую отметку в электронном листе согласования.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8" w:name="anchor1310"/>
      <w:bookmarkEnd w:id="128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29" w:name="anchor1311"/>
      <w:bookmarkEnd w:id="129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отдел управления по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 администрации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в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экспертизы в соответствии с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30" w:name="anchor1312"/>
      <w:bookmarkEnd w:id="130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экспертизы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положительного заключения по результатам антикоррупционной экспертизы, оформленного в установленном порядке, в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муниципального образования Усть-Лабинский район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1" w:name="anchor1313"/>
      <w:bookmarkEnd w:id="131"/>
    </w:p>
    <w:p w:rsidR="007E0B3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Усть-Лабинский район.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Направление копии нормативного правового акта об утверждении административного регламента в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поселения Усть-Лабинского района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831744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установленном законном порядке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2" w:name="anchor1315"/>
      <w:bookmarkEnd w:id="132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признании административного регламента утратившим силу. Указанный нормативный правовой акт подписывается в порядке, установленном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3.13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Разработка, согласование и утверждение нового административного регламента осуществляется в соответствии с настоящим Порядком.</w:t>
      </w:r>
      <w:bookmarkStart w:id="133" w:name="anchor1316"/>
      <w:bookmarkEnd w:id="133"/>
    </w:p>
    <w:p w:rsidR="00DA251E" w:rsidRPr="000144CE" w:rsidRDefault="0055250A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4" w:name="anchor1004"/>
      <w:bookmarkEnd w:id="134"/>
      <w:r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IV</w:t>
      </w:r>
      <w:r w:rsidR="00DA251E"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:rsidR="0055250A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anchor1041"/>
      <w:bookmarkEnd w:id="13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AC0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AC0A58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0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6" w:name="anchor1042"/>
      <w:bookmarkEnd w:id="136"/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692AC9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7" w:name="anchor1043"/>
      <w:bookmarkEnd w:id="137"/>
    </w:p>
    <w:p w:rsidR="000D17CE" w:rsidRDefault="00DA251E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заключении независимой экспертизы;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независимого эксперта, направившего соответствующее заключение, о внесении изменений в проект административного регламента либо об отказе в учете замечаний, содержащихся в заключении независимого эксперта, с указанием мотивированных причин отказа;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8" w:name="anchor1044"/>
      <w:bookmarkEnd w:id="138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Непоступление заключений независимой экспертизы в орган, предоставляющий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9" w:name="anchor1045"/>
      <w:bookmarkEnd w:id="139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40" w:name="anchor1046"/>
      <w:bookmarkEnd w:id="140"/>
    </w:p>
    <w:p w:rsidR="00F23CBD" w:rsidRPr="005843D5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:rsidR="00F23CBD" w:rsidRPr="005843D5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1.2. и 1.7.</w:t>
      </w:r>
      <w:r w:rsidR="005843D5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F23CBD" w:rsidRPr="00CE529C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3CBD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23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1" w:name="anchor1047"/>
      <w:bookmarkEnd w:id="141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 или представлении отрицательного заключения на проект административного регламента.</w:t>
      </w:r>
      <w:bookmarkStart w:id="142" w:name="anchor1048"/>
      <w:bookmarkEnd w:id="142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3" w:name="anchor1049"/>
      <w:bookmarkEnd w:id="143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4" w:name="anchor1410"/>
      <w:bookmarkEnd w:id="144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наличии в заключении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:rsidR="00DA251E" w:rsidRPr="00300F10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76" w:rsidRDefault="00D2737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5 рабочих дней с даты внесения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6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:rsidR="00DA251E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anchor1411"/>
      <w:bookmarkEnd w:id="14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разногласий, решение о дальнейшем согласовании проекта административного регламента принимается органом, предоставляющим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главы, курирующим его деятельность.</w:t>
      </w: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192B46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92B46" w:rsidRDefault="00192B46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192B46" w:rsidRDefault="00192B46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</w:t>
      </w:r>
    </w:p>
    <w:p w:rsidR="00192B46" w:rsidRPr="00F27683" w:rsidRDefault="00192B46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Е.В. Слесаренко</w:t>
      </w:r>
    </w:p>
    <w:p w:rsidR="00DF67FB" w:rsidRPr="00300F10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_GoBack"/>
      <w:bookmarkEnd w:id="146"/>
    </w:p>
    <w:sectPr w:rsidR="00DF67FB" w:rsidRPr="00300F10" w:rsidSect="00DA2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EA" w:rsidRDefault="00182EEA" w:rsidP="007A744B">
      <w:pPr>
        <w:spacing w:after="0" w:line="240" w:lineRule="auto"/>
      </w:pPr>
      <w:r>
        <w:separator/>
      </w:r>
    </w:p>
  </w:endnote>
  <w:endnote w:type="continuationSeparator" w:id="0">
    <w:p w:rsidR="00182EEA" w:rsidRDefault="00182EEA" w:rsidP="007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EA" w:rsidRDefault="00182EEA" w:rsidP="007A744B">
      <w:pPr>
        <w:spacing w:after="0" w:line="240" w:lineRule="auto"/>
      </w:pPr>
      <w:r>
        <w:separator/>
      </w:r>
    </w:p>
  </w:footnote>
  <w:footnote w:type="continuationSeparator" w:id="0">
    <w:p w:rsidR="00182EEA" w:rsidRDefault="00182EEA" w:rsidP="007A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C6"/>
    <w:rsid w:val="000075BB"/>
    <w:rsid w:val="000144CE"/>
    <w:rsid w:val="0003782B"/>
    <w:rsid w:val="00037B63"/>
    <w:rsid w:val="00043FD4"/>
    <w:rsid w:val="00055351"/>
    <w:rsid w:val="0005642F"/>
    <w:rsid w:val="0008287D"/>
    <w:rsid w:val="000921F2"/>
    <w:rsid w:val="00094CF7"/>
    <w:rsid w:val="000A578C"/>
    <w:rsid w:val="000C6A55"/>
    <w:rsid w:val="000D17CE"/>
    <w:rsid w:val="000D1B09"/>
    <w:rsid w:val="000E66AE"/>
    <w:rsid w:val="000F25BB"/>
    <w:rsid w:val="000F6658"/>
    <w:rsid w:val="000F6762"/>
    <w:rsid w:val="00111A0C"/>
    <w:rsid w:val="00136168"/>
    <w:rsid w:val="00150560"/>
    <w:rsid w:val="00172DA3"/>
    <w:rsid w:val="00182EEA"/>
    <w:rsid w:val="00184E4C"/>
    <w:rsid w:val="00192B46"/>
    <w:rsid w:val="001A0166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F0814"/>
    <w:rsid w:val="005012E2"/>
    <w:rsid w:val="0050691B"/>
    <w:rsid w:val="00525EED"/>
    <w:rsid w:val="005437B5"/>
    <w:rsid w:val="005446F8"/>
    <w:rsid w:val="00545382"/>
    <w:rsid w:val="00546EE9"/>
    <w:rsid w:val="0055250A"/>
    <w:rsid w:val="00565ACB"/>
    <w:rsid w:val="005703EC"/>
    <w:rsid w:val="0057295C"/>
    <w:rsid w:val="00583006"/>
    <w:rsid w:val="00583EFC"/>
    <w:rsid w:val="005843D5"/>
    <w:rsid w:val="005A08F8"/>
    <w:rsid w:val="005B21A7"/>
    <w:rsid w:val="005B25BB"/>
    <w:rsid w:val="005C216A"/>
    <w:rsid w:val="005D70F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87EC3"/>
    <w:rsid w:val="00692582"/>
    <w:rsid w:val="006925CC"/>
    <w:rsid w:val="00692AC9"/>
    <w:rsid w:val="006A2E8B"/>
    <w:rsid w:val="006A4C67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A744B"/>
    <w:rsid w:val="007B192E"/>
    <w:rsid w:val="007B3DA3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31744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D1CD9"/>
    <w:rsid w:val="008E572A"/>
    <w:rsid w:val="008E6F67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65E0"/>
    <w:rsid w:val="00967FB4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405D"/>
    <w:rsid w:val="00A050C1"/>
    <w:rsid w:val="00A105BC"/>
    <w:rsid w:val="00A16D5B"/>
    <w:rsid w:val="00A3651C"/>
    <w:rsid w:val="00A46284"/>
    <w:rsid w:val="00A5643E"/>
    <w:rsid w:val="00A6191B"/>
    <w:rsid w:val="00A62D82"/>
    <w:rsid w:val="00A74AFC"/>
    <w:rsid w:val="00A76F51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F14"/>
    <w:rsid w:val="00AF45DC"/>
    <w:rsid w:val="00B10B14"/>
    <w:rsid w:val="00B11E59"/>
    <w:rsid w:val="00B34F63"/>
    <w:rsid w:val="00B35C1E"/>
    <w:rsid w:val="00B3770D"/>
    <w:rsid w:val="00B47678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33DA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0B3C"/>
    <w:rsid w:val="00C4562F"/>
    <w:rsid w:val="00C652BC"/>
    <w:rsid w:val="00C815E0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947A8"/>
    <w:rsid w:val="00D952FD"/>
    <w:rsid w:val="00D95839"/>
    <w:rsid w:val="00DA251E"/>
    <w:rsid w:val="00DB5F9C"/>
    <w:rsid w:val="00DD4A65"/>
    <w:rsid w:val="00DD6FBC"/>
    <w:rsid w:val="00DE7532"/>
    <w:rsid w:val="00DF00B8"/>
    <w:rsid w:val="00DF67FB"/>
    <w:rsid w:val="00E052A2"/>
    <w:rsid w:val="00E25EC0"/>
    <w:rsid w:val="00E31996"/>
    <w:rsid w:val="00E4072D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57BB4"/>
    <w:rsid w:val="00F65D40"/>
    <w:rsid w:val="00F70CE4"/>
    <w:rsid w:val="00F94C20"/>
    <w:rsid w:val="00FA6915"/>
    <w:rsid w:val="00FB64A5"/>
    <w:rsid w:val="00FC685F"/>
    <w:rsid w:val="00FD1DB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08AC-D710-4FD5-B7A3-5C9ED1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744B"/>
  </w:style>
  <w:style w:type="paragraph" w:styleId="af0">
    <w:name w:val="footer"/>
    <w:basedOn w:val="a"/>
    <w:link w:val="af1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44B"/>
  </w:style>
  <w:style w:type="character" w:customStyle="1" w:styleId="FontStyle24">
    <w:name w:val="Font Style24"/>
    <w:rsid w:val="005D70FA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2">
    <w:name w:val="Title"/>
    <w:basedOn w:val="a"/>
    <w:next w:val="af3"/>
    <w:link w:val="af4"/>
    <w:qFormat/>
    <w:rsid w:val="005D7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2"/>
    <w:rsid w:val="005D70F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rsid w:val="005D70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5D70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20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Асланян</cp:lastModifiedBy>
  <cp:revision>389</cp:revision>
  <cp:lastPrinted>2023-01-27T10:46:00Z</cp:lastPrinted>
  <dcterms:created xsi:type="dcterms:W3CDTF">2022-11-22T13:44:00Z</dcterms:created>
  <dcterms:modified xsi:type="dcterms:W3CDTF">2023-01-27T10:47:00Z</dcterms:modified>
</cp:coreProperties>
</file>